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22A5C205"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CF193F">
        <w:rPr>
          <w:rFonts w:ascii="Arial" w:hAnsi="Arial" w:cs="Arial"/>
          <w:sz w:val="22"/>
          <w:lang w:val="en-US"/>
        </w:rPr>
        <w:t>03882</w:t>
      </w:r>
    </w:p>
    <w:p w14:paraId="0F790150" w14:textId="54C77F96"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CF193F">
        <w:rPr>
          <w:rFonts w:ascii="Arial" w:hAnsi="Arial" w:cs="Arial"/>
          <w:sz w:val="22"/>
          <w:lang w:val="en-US"/>
        </w:rPr>
        <w:t>April</w:t>
      </w:r>
      <w:bookmarkStart w:id="0" w:name="_GoBack"/>
      <w:bookmarkEnd w:id="0"/>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2E52161"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902E2">
        <w:rPr>
          <w:lang w:val="en-US"/>
        </w:rPr>
        <w:t xml:space="preserve"> </w:t>
      </w:r>
      <w:r w:rsidR="008902E2" w:rsidRPr="005A0D05">
        <w:rPr>
          <w:rFonts w:ascii="Arial" w:hAnsi="Arial" w:cs="Arial"/>
          <w:b w:val="0"/>
          <w:sz w:val="22"/>
          <w:lang w:val="en-US"/>
        </w:rPr>
        <w:t>Handover robustness improvements</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9B7405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Stage-2 aspects of Conditional Handover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41268812" w:rsidR="00CE7F6F" w:rsidRPr="00CE7F6F" w:rsidRDefault="005A0D05" w:rsidP="00E104C6">
      <w:pPr>
        <w:rPr>
          <w:lang w:val="en-GB"/>
        </w:rPr>
      </w:pPr>
      <w:bookmarkStart w:id="1"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Agreements</w:t>
      </w:r>
    </w:p>
    <w:p w14:paraId="77035680"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4D33B972"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545E375C"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072097AB" w14:textId="6787ED8C" w:rsidR="005A0D05" w:rsidRDefault="005A0D05" w:rsidP="000E24FD"/>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1"/>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0575BFE9">
            <wp:extent cx="5285598" cy="3193476"/>
            <wp:effectExtent l="0" t="0" r="0"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799" cy="3218973"/>
                    </a:xfrm>
                    <a:prstGeom prst="rect">
                      <a:avLst/>
                    </a:prstGeom>
                    <a:noFill/>
                  </pic:spPr>
                </pic:pic>
              </a:graphicData>
            </a:graphic>
          </wp:inline>
        </w:drawing>
      </w:r>
    </w:p>
    <w:p w14:paraId="5E1AF534" w14:textId="530423A8" w:rsidR="00C102E4" w:rsidRPr="001A0CB4" w:rsidRDefault="00325E66" w:rsidP="00E73D56">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022ECD49" w14:textId="3A5F7E84" w:rsidR="00C57BEE" w:rsidRPr="007B5725" w:rsidRDefault="009F2455" w:rsidP="00165EF0">
      <w:pPr>
        <w:pStyle w:val="Heading2"/>
        <w:rPr>
          <w:sz w:val="32"/>
        </w:rPr>
      </w:pPr>
      <w:r>
        <w:rPr>
          <w:sz w:val="32"/>
        </w:rPr>
        <w:t xml:space="preserve">Addition of CHO </w:t>
      </w:r>
      <w:r w:rsidR="00054A23" w:rsidRPr="007B5725">
        <w:rPr>
          <w:sz w:val="32"/>
        </w:rPr>
        <w:t>configuration</w:t>
      </w:r>
    </w:p>
    <w:p w14:paraId="588EF694" w14:textId="77777777" w:rsidR="005B4DA0" w:rsidRDefault="005B4DA0" w:rsidP="005B4DA0">
      <w:pPr>
        <w:rPr>
          <w:lang w:val="en-GB" w:eastAsia="zh-CN"/>
        </w:rPr>
      </w:pPr>
      <w:r>
        <w:rPr>
          <w:lang w:val="en-GB" w:eastAsia="zh-CN"/>
        </w:rPr>
        <w:t xml:space="preserve">In legacy handover in RRC_CONNECTED, the procedure is network controlled and a handover from a source to a target cell is decided by the source node where the UE is connected to. That decision may be assisted by measurements where the network typically configures the UE to trigger measurement reports according to an A3 event to indicate that a neighbour cell in a given frequency becomes an offset better than the source cell (e.g. based on RSRP, RSRQ or SINR). </w:t>
      </w:r>
    </w:p>
    <w:p w14:paraId="7F96714A" w14:textId="77777777" w:rsidR="005B4DA0" w:rsidRDefault="005B4DA0" w:rsidP="005B4DA0">
      <w:pPr>
        <w:rPr>
          <w:lang w:val="en-GB" w:eastAsia="zh-CN"/>
        </w:rPr>
      </w:pPr>
      <w:r>
        <w:rPr>
          <w:lang w:val="en-GB" w:eastAsia="zh-CN"/>
        </w:rPr>
        <w:t>In our view these principles should also be followed for conditional handover. Hence, the decision to configure conditional handover for a given UE is taken by the source gNB. That may be assisted by measurement reports, e.g., triggered when conditions are still quite good so that the provision of the conditional handover configuration is reliable (even though that early measurement configuration is not part of the conditional handover procedure itself). It also seems reasonable that the source gNB defines the conditions for when the handover should be executed, as the UE is still connected to the source gNB and the source gNB has the best knowledge about potential new target cells for the UE.</w:t>
      </w:r>
    </w:p>
    <w:p w14:paraId="498528CE" w14:textId="77777777" w:rsidR="005B4DA0" w:rsidRDefault="005B4DA0" w:rsidP="005B4DA0">
      <w:pPr>
        <w:pStyle w:val="Proposal"/>
        <w:tabs>
          <w:tab w:val="clear" w:pos="1304"/>
        </w:tabs>
        <w:ind w:left="1701" w:hanging="1701"/>
      </w:pPr>
      <w:r w:rsidRPr="001A0CB4">
        <w:t xml:space="preserve">Source gNB decides to configure </w:t>
      </w:r>
      <w:r>
        <w:t xml:space="preserve">CHO (e.g. </w:t>
      </w:r>
      <w:r w:rsidRPr="001A0CB4">
        <w:t>assisted by measurement reports</w:t>
      </w:r>
      <w:r>
        <w:t>)</w:t>
      </w:r>
      <w:r w:rsidRPr="001A0CB4">
        <w:t>.</w:t>
      </w:r>
    </w:p>
    <w:p w14:paraId="147B49AB" w14:textId="77777777" w:rsidR="005B4DA0" w:rsidRPr="001A0CB4" w:rsidRDefault="005B4DA0" w:rsidP="005B4DA0">
      <w:pPr>
        <w:pStyle w:val="Proposal"/>
        <w:tabs>
          <w:tab w:val="clear" w:pos="1304"/>
        </w:tabs>
        <w:ind w:left="1701" w:hanging="1701"/>
      </w:pPr>
      <w:r w:rsidRPr="001A0CB4">
        <w:t xml:space="preserve">Source gNB </w:t>
      </w:r>
      <w:r>
        <w:t xml:space="preserve">decides </w:t>
      </w:r>
      <w:r w:rsidRPr="001A0CB4">
        <w:t xml:space="preserve">the conditions for when the </w:t>
      </w:r>
      <w:r>
        <w:t xml:space="preserve">CHO </w:t>
      </w:r>
      <w:r w:rsidRPr="001A0CB4">
        <w:t>should be executed.</w:t>
      </w:r>
    </w:p>
    <w:p w14:paraId="0CC281B1" w14:textId="1EA75546" w:rsidR="00B36E4E" w:rsidRDefault="00CD7B3B" w:rsidP="00CD7B3B">
      <w:pPr>
        <w:tabs>
          <w:tab w:val="left" w:pos="5822"/>
        </w:tabs>
        <w:rPr>
          <w:lang w:val="en-GB" w:eastAsia="zh-CN"/>
        </w:rPr>
      </w:pPr>
      <w:r>
        <w:rPr>
          <w:lang w:val="en-GB" w:eastAsia="zh-CN"/>
        </w:rPr>
        <w:tab/>
      </w:r>
    </w:p>
    <w:p w14:paraId="115A84EC" w14:textId="6EA41577"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Preparation</w:t>
      </w:r>
    </w:p>
    <w:p w14:paraId="7646283F" w14:textId="0BDC7008" w:rsidR="00E45F1C" w:rsidRDefault="00E45F1C" w:rsidP="00536D3C">
      <w:pPr>
        <w:rPr>
          <w:lang w:val="en-GB" w:eastAsia="zh-CN"/>
        </w:rPr>
      </w:pPr>
      <w:r>
        <w:rPr>
          <w:lang w:val="en-GB" w:eastAsia="zh-CN"/>
        </w:rPr>
        <w:t>In legacy handover</w:t>
      </w:r>
      <w:r w:rsidR="009659BD">
        <w:rPr>
          <w:lang w:val="en-GB" w:eastAsia="zh-CN"/>
        </w:rPr>
        <w:t xml:space="preserve"> in </w:t>
      </w:r>
      <w:r w:rsidR="00C14B7B">
        <w:rPr>
          <w:lang w:val="en-GB" w:eastAsia="zh-CN"/>
        </w:rPr>
        <w:t>LTE</w:t>
      </w:r>
      <w:r>
        <w:rPr>
          <w:lang w:val="en-GB" w:eastAsia="zh-CN"/>
        </w:rPr>
        <w:t xml:space="preserve">, </w:t>
      </w:r>
      <w:r w:rsidR="00666617">
        <w:rPr>
          <w:lang w:val="en-GB" w:eastAsia="zh-CN"/>
        </w:rPr>
        <w:t xml:space="preserve">when the source </w:t>
      </w:r>
      <w:r w:rsidR="00C14B7B">
        <w:rPr>
          <w:lang w:val="en-GB" w:eastAsia="zh-CN"/>
        </w:rPr>
        <w:t xml:space="preserve">eNB </w:t>
      </w:r>
      <w:r w:rsidR="00666617">
        <w:rPr>
          <w:lang w:val="en-GB" w:eastAsia="zh-CN"/>
        </w:rPr>
        <w:t xml:space="preserve">decides to trigger a handover, </w:t>
      </w:r>
      <w:r w:rsidR="007E58CB">
        <w:rPr>
          <w:lang w:val="en-GB" w:eastAsia="zh-CN"/>
        </w:rPr>
        <w:t xml:space="preserve">source </w:t>
      </w:r>
      <w:r w:rsidR="00C14B7B">
        <w:rPr>
          <w:lang w:val="en-GB" w:eastAsia="zh-CN"/>
        </w:rPr>
        <w:t xml:space="preserve">eNB </w:t>
      </w:r>
      <w:r w:rsidR="009659BD">
        <w:rPr>
          <w:lang w:val="en-GB" w:eastAsia="zh-CN"/>
        </w:rPr>
        <w:t xml:space="preserve">provides the target </w:t>
      </w:r>
      <w:r w:rsidR="00C14B7B">
        <w:rPr>
          <w:lang w:val="en-GB" w:eastAsia="zh-CN"/>
        </w:rPr>
        <w:t xml:space="preserve">eNB </w:t>
      </w:r>
      <w:r w:rsidR="009659BD">
        <w:rPr>
          <w:lang w:val="en-GB" w:eastAsia="zh-CN"/>
        </w:rPr>
        <w:t>with the UE’s current configuration</w:t>
      </w:r>
      <w:r w:rsidR="00666617">
        <w:rPr>
          <w:lang w:val="en-GB" w:eastAsia="zh-CN"/>
        </w:rPr>
        <w:t xml:space="preserve"> in a HO Request over </w:t>
      </w:r>
      <w:r w:rsidR="00C14B7B">
        <w:rPr>
          <w:lang w:val="en-GB" w:eastAsia="zh-CN"/>
        </w:rPr>
        <w:t>X2</w:t>
      </w:r>
      <w:r w:rsidR="009659BD">
        <w:rPr>
          <w:lang w:val="en-GB" w:eastAsia="zh-CN"/>
        </w:rPr>
        <w:t xml:space="preserve">. </w:t>
      </w:r>
      <w:r w:rsidR="00666617">
        <w:rPr>
          <w:lang w:val="en-GB" w:eastAsia="zh-CN"/>
        </w:rPr>
        <w:t xml:space="preserve">If </w:t>
      </w:r>
      <w:r w:rsidR="009659BD">
        <w:rPr>
          <w:lang w:val="en-GB" w:eastAsia="zh-CN"/>
        </w:rPr>
        <w:t xml:space="preserve">the target </w:t>
      </w:r>
      <w:r w:rsidR="00C14B7B">
        <w:rPr>
          <w:lang w:val="en-GB" w:eastAsia="zh-CN"/>
        </w:rPr>
        <w:t xml:space="preserve">eNB </w:t>
      </w:r>
      <w:r w:rsidR="009659BD">
        <w:rPr>
          <w:lang w:val="en-GB" w:eastAsia="zh-CN"/>
        </w:rPr>
        <w:t>accepts the incoming handover</w:t>
      </w:r>
      <w:r w:rsidR="00666617">
        <w:rPr>
          <w:lang w:val="en-GB" w:eastAsia="zh-CN"/>
        </w:rPr>
        <w:t xml:space="preserve">, </w:t>
      </w:r>
      <w:r w:rsidR="009659BD">
        <w:rPr>
          <w:lang w:val="en-GB" w:eastAsia="zh-CN"/>
        </w:rPr>
        <w:t>it prepares a target configuration to be provided to the UE in the handover command. This is basically the configuration the UE shall appl</w:t>
      </w:r>
      <w:r w:rsidR="00C14B7B">
        <w:rPr>
          <w:lang w:val="en-GB" w:eastAsia="zh-CN"/>
        </w:rPr>
        <w:t xml:space="preserve">y </w:t>
      </w:r>
      <w:r w:rsidR="009659BD">
        <w:rPr>
          <w:lang w:val="en-GB" w:eastAsia="zh-CN"/>
        </w:rPr>
        <w:t xml:space="preserve">when it executes the handover. </w:t>
      </w:r>
    </w:p>
    <w:p w14:paraId="0CC33187" w14:textId="691B27BB" w:rsidR="007E58CB" w:rsidRDefault="00807F97" w:rsidP="00536D3C">
      <w:pPr>
        <w:rPr>
          <w:lang w:val="en-GB" w:eastAsia="zh-CN"/>
        </w:rPr>
      </w:pPr>
      <w:r>
        <w:rPr>
          <w:lang w:val="en-GB" w:eastAsia="zh-CN"/>
        </w:rPr>
        <w:lastRenderedPageBreak/>
        <w:t xml:space="preserve">In our view, </w:t>
      </w:r>
      <w:r w:rsidR="007E58CB">
        <w:rPr>
          <w:lang w:val="en-GB" w:eastAsia="zh-CN"/>
        </w:rPr>
        <w:t xml:space="preserve">similar </w:t>
      </w:r>
      <w:r>
        <w:rPr>
          <w:lang w:val="en-GB" w:eastAsia="zh-CN"/>
        </w:rPr>
        <w:t xml:space="preserve">principles should be </w:t>
      </w:r>
      <w:r w:rsidR="007E58CB">
        <w:rPr>
          <w:lang w:val="en-GB" w:eastAsia="zh-CN"/>
        </w:rPr>
        <w:t xml:space="preserve">adopted </w:t>
      </w:r>
      <w:r>
        <w:rPr>
          <w:lang w:val="en-GB" w:eastAsia="zh-CN"/>
        </w:rPr>
        <w:t xml:space="preserve">for CHO i.e. the source </w:t>
      </w:r>
      <w:r w:rsidR="00C14B7B">
        <w:rPr>
          <w:lang w:val="en-GB" w:eastAsia="zh-CN"/>
        </w:rPr>
        <w:t xml:space="preserve">eNB </w:t>
      </w:r>
      <w:r w:rsidR="007E58CB">
        <w:rPr>
          <w:lang w:val="en-GB" w:eastAsia="zh-CN"/>
        </w:rPr>
        <w:t xml:space="preserve">provides a potential target candidate </w:t>
      </w:r>
      <w:r w:rsidR="00C14B7B">
        <w:rPr>
          <w:lang w:val="en-GB" w:eastAsia="zh-CN"/>
        </w:rPr>
        <w:t xml:space="preserve">eNB </w:t>
      </w:r>
      <w:r w:rsidR="007E58CB">
        <w:rPr>
          <w:lang w:val="en-GB" w:eastAsia="zh-CN"/>
        </w:rPr>
        <w:t xml:space="preserve">with the </w:t>
      </w:r>
      <w:r w:rsidR="00FB1944">
        <w:rPr>
          <w:lang w:val="en-GB" w:eastAsia="zh-CN"/>
        </w:rPr>
        <w:t xml:space="preserve">with the UE’s current configuration in a HO Request over </w:t>
      </w:r>
      <w:r w:rsidR="00C14B7B">
        <w:rPr>
          <w:lang w:val="en-GB" w:eastAsia="zh-CN"/>
        </w:rPr>
        <w:t>X2</w:t>
      </w:r>
      <w:r w:rsidR="00FB1944">
        <w:rPr>
          <w:lang w:val="en-GB" w:eastAsia="zh-CN"/>
        </w:rPr>
        <w:t>.</w:t>
      </w:r>
      <w:r w:rsidR="0023390C">
        <w:rPr>
          <w:lang w:val="en-GB" w:eastAsia="zh-CN"/>
        </w:rPr>
        <w:t xml:space="preserve"> And, </w:t>
      </w:r>
      <w:r w:rsidR="002F52A8">
        <w:rPr>
          <w:lang w:val="en-GB" w:eastAsia="zh-CN"/>
        </w:rPr>
        <w:t xml:space="preserve">based on that configuration and other information exchanged during CHO preparation, a </w:t>
      </w:r>
      <w:r w:rsidR="0023390C">
        <w:rPr>
          <w:lang w:val="en-GB" w:eastAsia="zh-CN"/>
        </w:rPr>
        <w:t xml:space="preserve">target candidate </w:t>
      </w:r>
      <w:r w:rsidR="00C14B7B">
        <w:rPr>
          <w:lang w:val="en-GB" w:eastAsia="zh-CN"/>
        </w:rPr>
        <w:t xml:space="preserve">eNB </w:t>
      </w:r>
      <w:r w:rsidR="002F52A8">
        <w:rPr>
          <w:lang w:val="en-GB" w:eastAsia="zh-CN"/>
        </w:rPr>
        <w:t>generates a configuration to be used by the UE in case the CHO is executed. From an inter-node perspective</w:t>
      </w:r>
      <w:r w:rsidR="00C14B7B">
        <w:rPr>
          <w:lang w:val="en-GB" w:eastAsia="zh-CN"/>
        </w:rPr>
        <w:t>,</w:t>
      </w:r>
      <w:r w:rsidR="002F52A8">
        <w:rPr>
          <w:lang w:val="en-GB" w:eastAsia="zh-CN"/>
        </w:rPr>
        <w:t xml:space="preserve"> it may be later discussed (in RAN3) if a new procedure is needed or if the existing HO preparation procedure may be extended.</w:t>
      </w:r>
    </w:p>
    <w:p w14:paraId="2A0C274A" w14:textId="23C71C45" w:rsidR="0023390C" w:rsidRDefault="0023390C" w:rsidP="0023390C">
      <w:pPr>
        <w:pStyle w:val="Proposal"/>
        <w:tabs>
          <w:tab w:val="clear" w:pos="1304"/>
        </w:tabs>
        <w:ind w:left="1701" w:hanging="1701"/>
      </w:pPr>
      <w:r w:rsidRPr="001A0CB4">
        <w:t xml:space="preserve">Source gNB </w:t>
      </w:r>
      <w:r>
        <w:t>provides a target candidate with the UE configuration.</w:t>
      </w:r>
    </w:p>
    <w:p w14:paraId="753E69C0" w14:textId="668EBC8E" w:rsidR="0023390C" w:rsidRDefault="0023390C" w:rsidP="0023390C">
      <w:pPr>
        <w:pStyle w:val="Proposal"/>
        <w:tabs>
          <w:tab w:val="clear" w:pos="1304"/>
        </w:tabs>
        <w:ind w:left="1701" w:hanging="1701"/>
      </w:pPr>
      <w:r>
        <w:t xml:space="preserve">Target </w:t>
      </w:r>
      <w:r w:rsidRPr="001A0CB4">
        <w:t xml:space="preserve">gNB </w:t>
      </w:r>
      <w:r>
        <w:t>prepares a UE configuration to be applied if CHO is executed (i.e. if triggering condition is fulfilled).</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4564386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2BBE0AC0"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78F1063D" w14:textId="5F387F64" w:rsidR="003624BA" w:rsidRDefault="003624BA" w:rsidP="00B921A3">
      <w:pPr>
        <w:rPr>
          <w:lang w:val="en-GB" w:eastAsia="zh-CN"/>
        </w:rPr>
      </w:pPr>
      <w:r>
        <w:rPr>
          <w:lang w:val="en-GB" w:eastAsia="zh-CN"/>
        </w:rPr>
        <w:t xml:space="preserve">Then, from a stage-2 perspective,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157C072F" w14:textId="4245445D" w:rsidR="003A42C0" w:rsidRDefault="00A32FE7" w:rsidP="00B921A3">
      <w:pPr>
        <w:rPr>
          <w:lang w:val="en-GB" w:eastAsia="zh-CN"/>
        </w:rPr>
      </w:pPr>
      <w:r>
        <w:rPr>
          <w:lang w:val="en-GB" w:eastAsia="zh-CN"/>
        </w:rPr>
        <w:t>Companion contribution</w:t>
      </w:r>
      <w:r w:rsidR="00F848CF">
        <w:rPr>
          <w:lang w:val="en-GB" w:eastAsia="zh-CN"/>
        </w:rPr>
        <w:t xml:space="preserve">s </w:t>
      </w:r>
      <w:r>
        <w:rPr>
          <w:lang w:val="en-GB" w:eastAsia="zh-CN"/>
        </w:rPr>
        <w:t>discuss</w:t>
      </w:r>
      <w:r w:rsidR="00F848CF">
        <w:rPr>
          <w:lang w:val="en-GB" w:eastAsia="zh-CN"/>
        </w:rPr>
        <w:t xml:space="preserve"> </w:t>
      </w:r>
      <w:r>
        <w:rPr>
          <w:lang w:val="en-GB" w:eastAsia="zh-CN"/>
        </w:rPr>
        <w:t xml:space="preserve">the </w:t>
      </w:r>
      <w:r w:rsidR="003A42C0">
        <w:rPr>
          <w:lang w:val="en-GB" w:eastAsia="zh-CN"/>
        </w:rPr>
        <w:t>configuration of triggering conditions [</w:t>
      </w:r>
      <w:r w:rsidR="00774B5E">
        <w:rPr>
          <w:lang w:val="en-GB" w:eastAsia="zh-CN"/>
        </w:rPr>
        <w:t>2</w:t>
      </w:r>
      <w:r w:rsidR="003A42C0">
        <w:rPr>
          <w:lang w:val="en-GB" w:eastAsia="zh-CN"/>
        </w:rPr>
        <w:t>]</w:t>
      </w:r>
      <w:r>
        <w:rPr>
          <w:lang w:val="en-GB" w:eastAsia="zh-CN"/>
        </w:rPr>
        <w:t xml:space="preserve">, the </w:t>
      </w:r>
      <w:r w:rsidR="003A42C0">
        <w:rPr>
          <w:lang w:val="en-GB" w:eastAsia="zh-CN"/>
        </w:rPr>
        <w:t>configuration</w:t>
      </w:r>
      <w:r w:rsidR="00EE675B">
        <w:rPr>
          <w:lang w:val="en-GB" w:eastAsia="zh-CN"/>
        </w:rPr>
        <w:t>s</w:t>
      </w:r>
      <w:r w:rsidR="003A42C0">
        <w:rPr>
          <w:lang w:val="en-GB" w:eastAsia="zh-CN"/>
        </w:rPr>
        <w:t xml:space="preserve"> of </w:t>
      </w:r>
      <w:r w:rsidR="00443C0E">
        <w:rPr>
          <w:lang w:val="en-GB" w:eastAsia="zh-CN"/>
        </w:rPr>
        <w:t xml:space="preserve">condition handover i.e. </w:t>
      </w:r>
      <w:r w:rsidR="003A42C0">
        <w:rPr>
          <w:lang w:val="en-GB" w:eastAsia="zh-CN"/>
        </w:rPr>
        <w:t>the content of the dedicated RRC configuration(s)</w:t>
      </w:r>
      <w:r w:rsidR="00443C0E">
        <w:rPr>
          <w:lang w:val="en-GB" w:eastAsia="zh-CN"/>
        </w:rPr>
        <w:t xml:space="preserve"> for candidate target cells</w:t>
      </w:r>
      <w:r w:rsidR="003A42C0">
        <w:rPr>
          <w:lang w:val="en-GB" w:eastAsia="zh-CN"/>
        </w:rPr>
        <w:t xml:space="preserve"> [</w:t>
      </w:r>
      <w:r w:rsidR="00443C0E">
        <w:rPr>
          <w:lang w:val="en-GB" w:eastAsia="zh-CN"/>
        </w:rPr>
        <w:t>3</w:t>
      </w:r>
      <w:r w:rsidR="003A42C0">
        <w:rPr>
          <w:lang w:val="en-GB" w:eastAsia="zh-CN"/>
        </w:rPr>
        <w:t>]</w:t>
      </w:r>
      <w:r w:rsidR="00F848CF">
        <w:rPr>
          <w:lang w:val="en-GB" w:eastAsia="zh-CN"/>
        </w:rPr>
        <w:t xml:space="preserve"> and the </w:t>
      </w:r>
      <w:r w:rsidR="003A42C0">
        <w:rPr>
          <w:lang w:val="en-GB" w:eastAsia="zh-CN"/>
        </w:rPr>
        <w:t>CHO execution procedure [</w:t>
      </w:r>
      <w:r w:rsidR="00782E70">
        <w:rPr>
          <w:lang w:val="en-GB" w:eastAsia="zh-CN"/>
        </w:rPr>
        <w:t>4</w:t>
      </w:r>
      <w:r w:rsidR="003A42C0">
        <w:rPr>
          <w:lang w:val="en-GB" w:eastAsia="zh-CN"/>
        </w:rPr>
        <w:t xml:space="preserve">]. </w:t>
      </w:r>
    </w:p>
    <w:p w14:paraId="386964A0" w14:textId="24D387C9" w:rsidR="00050702" w:rsidRDefault="00050702" w:rsidP="003A42C0">
      <w:pPr>
        <w:spacing w:after="0" w:line="240" w:lineRule="auto"/>
        <w:rPr>
          <w:lang w:val="en-GB" w:eastAsia="zh-CN"/>
        </w:rPr>
      </w:pPr>
    </w:p>
    <w:p w14:paraId="620D0235" w14:textId="281AA371" w:rsidR="00F848CF" w:rsidRDefault="00F848CF" w:rsidP="003A42C0">
      <w:pPr>
        <w:spacing w:after="0" w:line="240" w:lineRule="auto"/>
        <w:rPr>
          <w:lang w:val="en-GB" w:eastAsia="zh-CN"/>
        </w:rPr>
      </w:pPr>
    </w:p>
    <w:p w14:paraId="20FCE704" w14:textId="21374A70" w:rsidR="00F848CF" w:rsidRDefault="00F848CF" w:rsidP="003A42C0">
      <w:pPr>
        <w:spacing w:after="0" w:line="240" w:lineRule="auto"/>
        <w:rPr>
          <w:lang w:val="en-GB" w:eastAsia="zh-CN"/>
        </w:rPr>
      </w:pPr>
    </w:p>
    <w:p w14:paraId="612F7730" w14:textId="74FC57BB" w:rsidR="00F848CF" w:rsidRDefault="00F848CF" w:rsidP="003A42C0">
      <w:pPr>
        <w:spacing w:after="0" w:line="240" w:lineRule="auto"/>
        <w:rPr>
          <w:lang w:val="en-GB" w:eastAsia="zh-CN"/>
        </w:rPr>
      </w:pPr>
    </w:p>
    <w:p w14:paraId="0FBEA556" w14:textId="1FD98639" w:rsidR="00F848CF" w:rsidRDefault="00F848CF" w:rsidP="003A42C0">
      <w:pPr>
        <w:spacing w:after="0" w:line="240" w:lineRule="auto"/>
        <w:rPr>
          <w:lang w:val="en-GB" w:eastAsia="zh-CN"/>
        </w:rPr>
      </w:pPr>
    </w:p>
    <w:p w14:paraId="76FEF219" w14:textId="2D9AAE88" w:rsidR="00F848CF" w:rsidRDefault="00F848CF" w:rsidP="003A42C0">
      <w:pPr>
        <w:spacing w:after="0" w:line="240" w:lineRule="auto"/>
        <w:rPr>
          <w:lang w:val="en-GB" w:eastAsia="zh-CN"/>
        </w:rPr>
      </w:pPr>
    </w:p>
    <w:p w14:paraId="2D3DB799" w14:textId="233C841F" w:rsidR="009773E5" w:rsidRPr="009773E5" w:rsidRDefault="009773E5" w:rsidP="009773E5">
      <w:pPr>
        <w:rPr>
          <w:lang w:val="en-GB" w:eastAsia="zh-CN"/>
        </w:rPr>
      </w:pPr>
    </w:p>
    <w:p w14:paraId="372318D3" w14:textId="77777777" w:rsidR="009D725A" w:rsidRDefault="009D725A" w:rsidP="00C30004">
      <w:pPr>
        <w:pStyle w:val="Heading1"/>
      </w:pPr>
      <w:bookmarkStart w:id="3" w:name="_Toc242573360"/>
      <w:r w:rsidRPr="00C30004">
        <w:lastRenderedPageBreak/>
        <w:t>Summary</w:t>
      </w:r>
      <w:bookmarkEnd w:id="3"/>
    </w:p>
    <w:p w14:paraId="587C178A" w14:textId="5932A6DF" w:rsidR="00EA3C8E" w:rsidRPr="00EA3C8E" w:rsidRDefault="005552F0" w:rsidP="001E79FB">
      <w:bookmarkStart w:id="4" w:name="_Toc242573361"/>
      <w:r>
        <w:t>RAN2 is kindly asked to</w:t>
      </w:r>
      <w:r w:rsidR="00063686">
        <w:t xml:space="preserve"> discuss the following</w:t>
      </w:r>
      <w:r w:rsidR="009F765E">
        <w:t xml:space="preserve"> proposal</w:t>
      </w:r>
      <w:r w:rsidR="004C69AA">
        <w:t>s</w:t>
      </w:r>
      <w:r w:rsidR="00B8653E">
        <w:t xml:space="preserve"> and observation</w:t>
      </w:r>
      <w:r w:rsidR="00063686">
        <w:t>:</w:t>
      </w:r>
    </w:p>
    <w:p w14:paraId="69C0A463" w14:textId="77777777" w:rsidR="001736BC" w:rsidRDefault="00052B82" w:rsidP="001736BC">
      <w:pPr>
        <w:pStyle w:val="Proposal"/>
        <w:numPr>
          <w:ilvl w:val="0"/>
          <w:numId w:val="49"/>
        </w:numPr>
        <w:tabs>
          <w:tab w:val="clear" w:pos="1304"/>
        </w:tabs>
      </w:pPr>
      <w:bookmarkStart w:id="5" w:name="_Hlk528334907"/>
      <w:r w:rsidRPr="001A0CB4">
        <w:t xml:space="preserve">Source gNB decides to configure </w:t>
      </w:r>
      <w:r>
        <w:t xml:space="preserve">CHO (e.g. </w:t>
      </w:r>
      <w:r w:rsidRPr="001A0CB4">
        <w:t>assisted by measurement reports</w:t>
      </w:r>
      <w:r>
        <w:t>)</w:t>
      </w:r>
      <w:r w:rsidRPr="001A0CB4">
        <w:t>.</w:t>
      </w:r>
    </w:p>
    <w:p w14:paraId="2B90C1D9" w14:textId="2BB8C093" w:rsidR="00052B82" w:rsidRPr="001A0CB4" w:rsidRDefault="00052B82" w:rsidP="001736BC">
      <w:pPr>
        <w:pStyle w:val="Proposal"/>
        <w:numPr>
          <w:ilvl w:val="0"/>
          <w:numId w:val="49"/>
        </w:numPr>
        <w:tabs>
          <w:tab w:val="clear" w:pos="1304"/>
        </w:tabs>
      </w:pPr>
      <w:r w:rsidRPr="001A0CB4">
        <w:t xml:space="preserve">Source gNB </w:t>
      </w:r>
      <w:r>
        <w:t xml:space="preserve">decides </w:t>
      </w:r>
      <w:r w:rsidRPr="001A0CB4">
        <w:t xml:space="preserve">the conditions for when the </w:t>
      </w:r>
      <w:r>
        <w:t xml:space="preserve">CHO </w:t>
      </w:r>
      <w:r w:rsidRPr="001A0CB4">
        <w:t>should be executed.</w:t>
      </w:r>
    </w:p>
    <w:p w14:paraId="3D87FA54" w14:textId="77777777" w:rsidR="001736BC" w:rsidRDefault="001736BC" w:rsidP="001736BC">
      <w:pPr>
        <w:pStyle w:val="Proposal"/>
        <w:numPr>
          <w:ilvl w:val="0"/>
          <w:numId w:val="49"/>
        </w:numPr>
        <w:tabs>
          <w:tab w:val="clear" w:pos="1304"/>
        </w:tabs>
      </w:pPr>
      <w:r w:rsidRPr="001A0CB4">
        <w:t xml:space="preserve">Source gNB </w:t>
      </w:r>
      <w:r>
        <w:t>provides a target candidate with the UE configuration.</w:t>
      </w:r>
    </w:p>
    <w:p w14:paraId="58D37F97" w14:textId="60A92319" w:rsidR="00052B82" w:rsidRDefault="001736BC" w:rsidP="003146DC">
      <w:pPr>
        <w:pStyle w:val="Proposal"/>
        <w:numPr>
          <w:ilvl w:val="0"/>
          <w:numId w:val="49"/>
        </w:numPr>
        <w:tabs>
          <w:tab w:val="clear" w:pos="1304"/>
        </w:tabs>
      </w:pPr>
      <w:r>
        <w:t xml:space="preserve">Target </w:t>
      </w:r>
      <w:r w:rsidRPr="001A0CB4">
        <w:t xml:space="preserve">gNB </w:t>
      </w:r>
      <w:r>
        <w:t>prepares a UE configuration to be applied if CHO is executed (i.e. if triggering condition is fulfilled).</w:t>
      </w:r>
    </w:p>
    <w:bookmarkEnd w:id="5"/>
    <w:p w14:paraId="36D2311E" w14:textId="77777777" w:rsidR="009D725A" w:rsidRDefault="009D725A" w:rsidP="009D725A">
      <w:pPr>
        <w:pStyle w:val="Heading1"/>
        <w:rPr>
          <w:noProof/>
        </w:rPr>
      </w:pPr>
      <w:r>
        <w:rPr>
          <w:noProof/>
        </w:rPr>
        <w:t>References</w:t>
      </w:r>
      <w:bookmarkEnd w:id="4"/>
    </w:p>
    <w:p w14:paraId="38B31A59" w14:textId="3A61B1C6"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w:t>
      </w:r>
      <w:r w:rsidR="00CF193F">
        <w:rPr>
          <w:rFonts w:cs="Arial"/>
          <w:lang w:val="de-DE"/>
        </w:rPr>
        <w:t>P-181475</w:t>
      </w:r>
      <w:r w:rsidR="005044CC">
        <w:rPr>
          <w:rFonts w:cs="Arial"/>
          <w:lang w:val="de-DE"/>
        </w:rPr>
        <w:t xml:space="preserve">, Work Item on </w:t>
      </w:r>
      <w:r w:rsidR="00CF193F">
        <w:rPr>
          <w:rFonts w:cs="Arial"/>
          <w:lang w:val="de-DE"/>
        </w:rPr>
        <w:t>Even further</w:t>
      </w:r>
      <w:r w:rsidR="0086488F">
        <w:rPr>
          <w:rFonts w:cs="Arial"/>
          <w:lang w:val="de-DE"/>
        </w:rPr>
        <w:t xml:space="preserve"> Mobility Enhancements</w:t>
      </w:r>
      <w:r w:rsidR="00CF193F">
        <w:rPr>
          <w:rFonts w:cs="Arial"/>
          <w:lang w:val="de-DE"/>
        </w:rPr>
        <w:t xml:space="preserve"> in E-UTRAN</w:t>
      </w:r>
      <w:r w:rsidR="005044CC">
        <w:rPr>
          <w:rFonts w:cs="Arial"/>
          <w:lang w:val="de-DE"/>
        </w:rPr>
        <w:t xml:space="preserve">, </w:t>
      </w:r>
      <w:r w:rsidR="00CF193F">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p>
    <w:p w14:paraId="6203B552" w14:textId="5610050A" w:rsidR="007651A1" w:rsidRPr="00782E70" w:rsidRDefault="006F309C" w:rsidP="00782E70">
      <w:pPr>
        <w:numPr>
          <w:ilvl w:val="0"/>
          <w:numId w:val="1"/>
        </w:numPr>
        <w:overflowPunct w:val="0"/>
        <w:autoSpaceDE w:val="0"/>
        <w:autoSpaceDN w:val="0"/>
        <w:adjustRightInd w:val="0"/>
        <w:spacing w:after="180" w:line="240" w:lineRule="auto"/>
        <w:textAlignment w:val="baseline"/>
        <w:rPr>
          <w:rFonts w:cs="Arial"/>
          <w:lang w:val="de-DE"/>
        </w:rPr>
      </w:pPr>
      <w:bookmarkStart w:id="8" w:name="_Ref534984224"/>
      <w:bookmarkStart w:id="9" w:name="_Ref536781318"/>
      <w:r>
        <w:rPr>
          <w:rFonts w:cs="Arial"/>
          <w:lang w:val="de-DE"/>
        </w:rPr>
        <w:t>R2-19</w:t>
      </w:r>
      <w:r w:rsidR="00CF193F">
        <w:rPr>
          <w:rFonts w:cs="Arial"/>
          <w:lang w:val="de-DE"/>
        </w:rPr>
        <w:t>03885</w:t>
      </w:r>
      <w:r>
        <w:rPr>
          <w:rFonts w:cs="Arial"/>
          <w:lang w:val="de-DE"/>
        </w:rPr>
        <w:t>, Triggering</w:t>
      </w:r>
      <w:r w:rsidR="007651A1">
        <w:rPr>
          <w:rFonts w:cs="Arial"/>
          <w:lang w:val="de-DE"/>
        </w:rPr>
        <w:t xml:space="preserve"> of conditional handover</w:t>
      </w:r>
      <w:bookmarkEnd w:id="8"/>
      <w:r>
        <w:rPr>
          <w:rFonts w:cs="Arial"/>
          <w:lang w:val="de-DE"/>
        </w:rPr>
        <w:t xml:space="preserve"> in LTE</w:t>
      </w:r>
      <w:bookmarkEnd w:id="9"/>
      <w:r w:rsidR="00CF193F">
        <w:rPr>
          <w:rFonts w:cs="Arial"/>
          <w:lang w:val="de-DE"/>
        </w:rPr>
        <w:t>, Ericsson</w:t>
      </w:r>
    </w:p>
    <w:p w14:paraId="3C4C3C37" w14:textId="02D7CC40" w:rsidR="00443C0E" w:rsidRPr="00782E70" w:rsidRDefault="00CF193F"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R2-1903884</w:t>
      </w:r>
      <w:r w:rsidR="00443C0E">
        <w:rPr>
          <w:rFonts w:cs="Arial"/>
          <w:lang w:val="de-DE"/>
        </w:rPr>
        <w:t xml:space="preserve">, Configuration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Pr>
          <w:rFonts w:cs="Arial"/>
          <w:lang w:val="de-DE"/>
        </w:rPr>
        <w:t>Ericsson</w:t>
      </w:r>
    </w:p>
    <w:p w14:paraId="38007529" w14:textId="20DA2521" w:rsidR="00782E70" w:rsidRPr="00782E70" w:rsidRDefault="00CF193F"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R2-1903886</w:t>
      </w:r>
      <w:r w:rsidR="00782E70">
        <w:rPr>
          <w:rFonts w:cs="Arial"/>
          <w:lang w:val="de-DE"/>
        </w:rPr>
        <w:t xml:space="preserve">, Conditonal handover execution </w:t>
      </w:r>
      <w:r w:rsidR="00782E70">
        <w:rPr>
          <w:lang w:val="en-GB" w:eastAsia="zh-CN"/>
        </w:rPr>
        <w:t>in LTE,</w:t>
      </w:r>
      <w:r w:rsidR="00782E70">
        <w:rPr>
          <w:rFonts w:cs="Arial"/>
          <w:lang w:val="en-GB"/>
        </w:rPr>
        <w:t xml:space="preserve"> </w:t>
      </w:r>
      <w:r>
        <w:rPr>
          <w:rFonts w:cs="Arial"/>
          <w:lang w:val="de-DE"/>
        </w:rPr>
        <w:t>Ericsson</w:t>
      </w:r>
    </w:p>
    <w:sectPr w:rsidR="00782E70"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2B82"/>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6BC"/>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2E7"/>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6DC"/>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46FEF"/>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DA9"/>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93F"/>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5NUHHDQN7SK2-1476151046-43055</_dlc_DocId>
    <_dlc_DocIdUrl xmlns="f166a696-7b5b-4ccd-9f0c-ffde0cceec81">
      <Url>https://ericsson.sharepoint.com/sites/star/_layouts/15/DocIdRedir.aspx?ID=5NUHHDQN7SK2-1476151046-43055</Url>
      <Description>5NUHHDQN7SK2-1476151046-43055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A4780946-C851-46FE-9DE5-81FB21BA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1149</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55</cp:revision>
  <cp:lastPrinted>2019-02-01T14:22:00Z</cp:lastPrinted>
  <dcterms:created xsi:type="dcterms:W3CDTF">2019-02-14T07:09:00Z</dcterms:created>
  <dcterms:modified xsi:type="dcterms:W3CDTF">2019-03-28T09:43:00Z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37322ffa-2752-49b6-b022-6a2880f500e0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334</vt:lpwstr>
  </property>
  <property fmtid="{D5CDD505-2E9C-101B-9397-08002B2CF9AE}" pid="16" name="AuthorIds_UIVersion_1536">
    <vt:lpwstr>320</vt:lpwstr>
  </property>
</Properties>
</file>